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right"/>
        <w:rPr>
          <w:sz w:val="28"/>
          <w:szCs w:val="28"/>
        </w:rPr>
      </w:pPr>
      <w:r>
        <w:rPr>
          <w:rFonts w:ascii="Times New Roman" w:hAnsi="Times New Roman"/>
          <w:b/>
          <w:sz w:val="28"/>
          <w:szCs w:val="28"/>
          <w:lang w:val="uk-UA"/>
        </w:rPr>
        <w:t>Додаток 2</w:t>
      </w:r>
    </w:p>
    <w:p>
      <w:pPr>
        <w:pStyle w:val="Normal"/>
        <w:spacing w:before="0" w:after="0"/>
        <w:jc w:val="right"/>
        <w:rPr/>
      </w:pPr>
      <w:r>
        <w:rPr>
          <w:rFonts w:ascii="Times New Roman" w:hAnsi="Times New Roman"/>
          <w:b/>
          <w:sz w:val="24"/>
          <w:szCs w:val="24"/>
          <w:lang w:val="uk-UA"/>
        </w:rPr>
        <w:t>до рішення протоколу Загальних зборів</w:t>
      </w:r>
    </w:p>
    <w:p>
      <w:pPr>
        <w:pStyle w:val="Normal"/>
        <w:spacing w:before="0" w:after="0"/>
        <w:jc w:val="right"/>
        <w:rPr>
          <w:highlight w:val="white"/>
        </w:rPr>
      </w:pPr>
      <w:r>
        <w:rPr>
          <w:rFonts w:ascii="Times New Roman" w:hAnsi="Times New Roman"/>
          <w:b/>
          <w:sz w:val="24"/>
          <w:szCs w:val="24"/>
          <w:highlight w:val="white"/>
          <w:lang w:val="uk-UA"/>
        </w:rPr>
        <w:t>учасників ТзОВ “Шувар” від 15 квітня 201</w:t>
      </w:r>
      <w:r>
        <w:rPr>
          <w:rFonts w:ascii="Times New Roman" w:hAnsi="Times New Roman"/>
          <w:b/>
          <w:sz w:val="24"/>
          <w:szCs w:val="24"/>
          <w:highlight w:val="white"/>
          <w:lang w:val="uk-UA"/>
        </w:rPr>
        <w:t>9</w:t>
      </w:r>
      <w:r>
        <w:rPr>
          <w:rFonts w:ascii="Times New Roman" w:hAnsi="Times New Roman"/>
          <w:b/>
          <w:sz w:val="24"/>
          <w:szCs w:val="24"/>
          <w:highlight w:val="white"/>
          <w:lang w:val="uk-UA"/>
        </w:rPr>
        <w:t xml:space="preserve"> року №70 </w:t>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center"/>
        <w:rPr/>
      </w:pPr>
      <w:r>
        <w:rPr>
          <w:rFonts w:ascii="Times New Roman" w:hAnsi="Times New Roman"/>
          <w:b/>
          <w:sz w:val="24"/>
          <w:szCs w:val="24"/>
          <w:lang w:val="uk-UA"/>
        </w:rPr>
        <w:t>ЗВІТ ПРО КОРПОРАТИВНЕ УПРАВЛІННЯ ТзОВ «Шувар»</w:t>
      </w:r>
    </w:p>
    <w:p>
      <w:pPr>
        <w:pStyle w:val="Normal"/>
        <w:spacing w:before="0" w:after="0"/>
        <w:jc w:val="both"/>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both"/>
        <w:rPr>
          <w:lang w:val="uk-UA"/>
        </w:rPr>
      </w:pPr>
      <w:r>
        <w:rPr>
          <w:rFonts w:ascii="Times New Roman" w:hAnsi="Times New Roman"/>
          <w:sz w:val="24"/>
          <w:szCs w:val="24"/>
          <w:lang w:val="uk-UA"/>
        </w:rPr>
        <w:tab/>
        <w:t>Цей звіт про корпоративне управління складено Товариствомз обмеженою відповідальністю «Шувар» у відповідності до ст.40-1 Закону «Про цінні папери та фондовий ринок».</w:t>
      </w:r>
    </w:p>
    <w:p>
      <w:pPr>
        <w:pStyle w:val="Normal"/>
        <w:spacing w:before="0" w:after="0"/>
        <w:jc w:val="both"/>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both"/>
        <w:rPr>
          <w:rStyle w:val="Rvts0"/>
          <w:rFonts w:ascii="Times New Roman" w:hAnsi="Times New Roman"/>
          <w:b/>
          <w:b/>
          <w:sz w:val="24"/>
          <w:szCs w:val="24"/>
          <w:lang w:val="uk-UA"/>
        </w:rPr>
      </w:pPr>
      <w:r>
        <w:rPr>
          <w:rFonts w:ascii="Times New Roman" w:hAnsi="Times New Roman"/>
          <w:b/>
          <w:sz w:val="24"/>
          <w:szCs w:val="24"/>
          <w:lang w:val="uk-UA"/>
        </w:rPr>
        <w:t xml:space="preserve">1. </w:t>
      </w:r>
      <w:r>
        <w:rPr>
          <w:rStyle w:val="Rvts0"/>
          <w:rFonts w:ascii="Times New Roman" w:hAnsi="Times New Roman"/>
          <w:b/>
          <w:sz w:val="24"/>
          <w:szCs w:val="24"/>
          <w:lang w:val="uk-UA"/>
        </w:rPr>
        <w:t>Про практику корпоративного управління.</w:t>
      </w:r>
    </w:p>
    <w:p>
      <w:pPr>
        <w:pStyle w:val="Normal"/>
        <w:spacing w:before="0" w:after="0"/>
        <w:jc w:val="both"/>
        <w:rPr>
          <w:rFonts w:ascii="Times New Roman" w:hAnsi="Times New Roman"/>
          <w:b/>
          <w:b/>
          <w:sz w:val="24"/>
          <w:szCs w:val="24"/>
          <w:lang w:val="uk-UA"/>
        </w:rPr>
      </w:pPr>
      <w:r>
        <w:rPr>
          <w:rFonts w:ascii="Times New Roman" w:hAnsi="Times New Roman"/>
          <w:sz w:val="24"/>
          <w:szCs w:val="24"/>
          <w:lang w:val="uk-UA"/>
        </w:rPr>
        <w:t>Н</w:t>
      </w:r>
      <w:r>
        <w:rPr>
          <w:rFonts w:ascii="Times New Roman" w:hAnsi="Times New Roman"/>
          <w:color w:val="000000"/>
          <w:sz w:val="24"/>
          <w:szCs w:val="24"/>
          <w:lang w:val="uk-UA"/>
        </w:rPr>
        <w:t xml:space="preserve">а дату складення річного звіту за 2018 рік  Товариство не має власного  Кодексу  корпоративного управління. </w:t>
      </w:r>
    </w:p>
    <w:p>
      <w:pPr>
        <w:pStyle w:val="Normal"/>
        <w:spacing w:before="0" w:after="0"/>
        <w:jc w:val="both"/>
        <w:rPr>
          <w:rFonts w:ascii="Times New Roman" w:hAnsi="Times New Roman"/>
          <w:b/>
          <w:b/>
          <w:sz w:val="24"/>
          <w:szCs w:val="24"/>
          <w:lang w:val="uk-UA"/>
        </w:rPr>
      </w:pPr>
      <w:r>
        <w:rPr>
          <w:rFonts w:ascii="Times New Roman" w:hAnsi="Times New Roman"/>
          <w:sz w:val="24"/>
          <w:szCs w:val="24"/>
          <w:lang w:val="uk-UA"/>
        </w:rPr>
        <w:t>Корпоративне управління у Товаристві базується на загальних законодавчих нормах і  таких принципах:</w:t>
      </w:r>
    </w:p>
    <w:p>
      <w:pPr>
        <w:pStyle w:val="Normal"/>
        <w:spacing w:before="0" w:after="0"/>
        <w:jc w:val="both"/>
        <w:rPr>
          <w:rFonts w:ascii="Times New Roman" w:hAnsi="Times New Roman"/>
          <w:sz w:val="24"/>
          <w:szCs w:val="24"/>
          <w:lang w:val="uk-UA"/>
        </w:rPr>
      </w:pPr>
      <w:r>
        <w:rPr>
          <w:rFonts w:ascii="Times New Roman" w:hAnsi="Times New Roman"/>
          <w:sz w:val="24"/>
          <w:szCs w:val="24"/>
          <w:lang w:val="uk-UA"/>
        </w:rPr>
        <w:t>- забезпечення учасникам реальної можливості здійснювати свої права, пов’язані з участю у Товаристві;</w:t>
      </w:r>
    </w:p>
    <w:p>
      <w:pPr>
        <w:pStyle w:val="Normal"/>
        <w:spacing w:before="0" w:after="0"/>
        <w:jc w:val="both"/>
        <w:rPr>
          <w:rFonts w:ascii="Times New Roman" w:hAnsi="Times New Roman"/>
          <w:sz w:val="24"/>
          <w:szCs w:val="24"/>
          <w:lang w:val="uk-UA"/>
        </w:rPr>
      </w:pPr>
      <w:r>
        <w:rPr>
          <w:rFonts w:ascii="Times New Roman" w:hAnsi="Times New Roman"/>
          <w:sz w:val="24"/>
          <w:szCs w:val="24"/>
          <w:lang w:val="uk-UA"/>
        </w:rPr>
        <w:t>- однакове ставлення до всіх учасників, незалежно від їх частки в статутному капіталі;</w:t>
      </w:r>
    </w:p>
    <w:p>
      <w:pPr>
        <w:pStyle w:val="Normal"/>
        <w:spacing w:before="0" w:after="0"/>
        <w:jc w:val="both"/>
        <w:rPr>
          <w:rFonts w:ascii="Times New Roman" w:hAnsi="Times New Roman"/>
          <w:sz w:val="24"/>
          <w:szCs w:val="24"/>
          <w:lang w:val="uk-UA"/>
        </w:rPr>
      </w:pPr>
      <w:r>
        <w:rPr>
          <w:rFonts w:ascii="Times New Roman" w:hAnsi="Times New Roman"/>
          <w:sz w:val="24"/>
          <w:szCs w:val="24"/>
          <w:lang w:val="uk-UA"/>
        </w:rPr>
        <w:t>- своєчасне розкриття повної та достовірної інформації про Товариство;</w:t>
      </w:r>
    </w:p>
    <w:p>
      <w:pPr>
        <w:pStyle w:val="Normal"/>
        <w:spacing w:before="0" w:after="0"/>
        <w:jc w:val="both"/>
        <w:rPr>
          <w:rFonts w:ascii="Times New Roman" w:hAnsi="Times New Roman"/>
          <w:sz w:val="24"/>
          <w:szCs w:val="24"/>
          <w:lang w:val="uk-UA"/>
        </w:rPr>
      </w:pPr>
      <w:r>
        <w:rPr>
          <w:rFonts w:ascii="Times New Roman" w:hAnsi="Times New Roman"/>
          <w:sz w:val="24"/>
          <w:szCs w:val="24"/>
          <w:lang w:val="uk-UA"/>
        </w:rPr>
        <w:t xml:space="preserve">- ефективний контроль за фінансово-господарською діяльністю Товариства.  </w:t>
      </w:r>
    </w:p>
    <w:p>
      <w:pPr>
        <w:pStyle w:val="Normal"/>
        <w:spacing w:before="0" w:after="0"/>
        <w:jc w:val="both"/>
        <w:rPr>
          <w:rFonts w:ascii="Times New Roman" w:hAnsi="Times New Roman"/>
          <w:sz w:val="24"/>
          <w:szCs w:val="24"/>
          <w:lang w:val="uk-UA"/>
        </w:rPr>
      </w:pPr>
      <w:r>
        <w:rPr>
          <w:rFonts w:ascii="Times New Roman" w:hAnsi="Times New Roman"/>
          <w:sz w:val="24"/>
          <w:szCs w:val="24"/>
          <w:lang w:val="uk-UA"/>
        </w:rPr>
        <w:t>Основним внутрішнім документом Товариства, що закріплює права учасників, є Статут Товариства.</w:t>
      </w:r>
    </w:p>
    <w:p>
      <w:pPr>
        <w:pStyle w:val="Normal"/>
        <w:spacing w:before="0" w:after="0"/>
        <w:jc w:val="both"/>
        <w:rPr>
          <w:lang w:val="uk-UA"/>
        </w:rPr>
      </w:pPr>
      <w:r>
        <w:rPr>
          <w:rFonts w:ascii="Times New Roman" w:hAnsi="Times New Roman"/>
          <w:sz w:val="24"/>
          <w:szCs w:val="24"/>
          <w:lang w:val="uk-UA"/>
        </w:rPr>
        <w:t>Будучи товариством з обмеженою відповідальністю на ТзОВ «Шувар» не поширюються вимоги щодо публічного розміщення (на власному сайті) статуту, внутрішніх положень, проте на запит Товариство невідкладно надає усю запитувану інформацію учасникам.</w:t>
      </w:r>
    </w:p>
    <w:p>
      <w:pPr>
        <w:pStyle w:val="Normal"/>
        <w:spacing w:before="0" w:after="0"/>
        <w:jc w:val="both"/>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both"/>
        <w:rPr>
          <w:rFonts w:ascii="Times New Roman" w:hAnsi="Times New Roman"/>
          <w:b/>
          <w:b/>
          <w:color w:val="000000"/>
          <w:sz w:val="24"/>
          <w:szCs w:val="24"/>
          <w:lang w:val="uk-UA"/>
        </w:rPr>
      </w:pPr>
      <w:r>
        <w:rPr>
          <w:rFonts w:ascii="Times New Roman" w:hAnsi="Times New Roman"/>
          <w:b/>
          <w:sz w:val="24"/>
          <w:szCs w:val="24"/>
          <w:lang w:val="uk-UA"/>
        </w:rPr>
        <w:t>2.</w:t>
      </w:r>
      <w:r>
        <w:rPr>
          <w:rFonts w:ascii="Times New Roman" w:hAnsi="Times New Roman"/>
          <w:sz w:val="24"/>
          <w:szCs w:val="24"/>
          <w:lang w:val="uk-UA"/>
        </w:rPr>
        <w:t xml:space="preserve"> </w:t>
      </w:r>
      <w:r>
        <w:rPr>
          <w:rFonts w:ascii="Times New Roman" w:hAnsi="Times New Roman"/>
          <w:b/>
          <w:sz w:val="24"/>
          <w:szCs w:val="24"/>
          <w:lang w:val="uk-UA"/>
        </w:rPr>
        <w:t xml:space="preserve">Пункт не розкривається, оскільки в товариства відсутній </w:t>
      </w:r>
      <w:r>
        <w:rPr>
          <w:rFonts w:ascii="Times New Roman" w:hAnsi="Times New Roman"/>
          <w:b/>
          <w:color w:val="000000"/>
          <w:sz w:val="24"/>
          <w:szCs w:val="24"/>
          <w:lang w:val="uk-UA"/>
        </w:rPr>
        <w:t>Кодекс корпоративного управління.</w:t>
      </w:r>
    </w:p>
    <w:p>
      <w:pPr>
        <w:pStyle w:val="Normal"/>
        <w:spacing w:before="0" w:after="0"/>
        <w:jc w:val="both"/>
        <w:rPr>
          <w:rFonts w:ascii="Times New Roman" w:hAnsi="Times New Roman"/>
          <w:color w:val="000000"/>
          <w:sz w:val="24"/>
          <w:szCs w:val="24"/>
          <w:lang w:val="uk-UA"/>
        </w:rPr>
      </w:pPr>
      <w:r>
        <w:rPr>
          <w:rFonts w:ascii="Times New Roman" w:hAnsi="Times New Roman"/>
          <w:color w:val="000000"/>
          <w:sz w:val="24"/>
          <w:szCs w:val="24"/>
          <w:lang w:val="uk-UA"/>
        </w:rPr>
      </w:r>
    </w:p>
    <w:p>
      <w:pPr>
        <w:pStyle w:val="Normal"/>
        <w:spacing w:before="0" w:after="0"/>
        <w:jc w:val="both"/>
        <w:rPr>
          <w:rFonts w:ascii="Times New Roman" w:hAnsi="Times New Roman"/>
          <w:b/>
          <w:b/>
          <w:sz w:val="24"/>
          <w:szCs w:val="24"/>
          <w:lang w:val="uk-UA"/>
        </w:rPr>
      </w:pPr>
      <w:r>
        <w:rPr>
          <w:rFonts w:ascii="Times New Roman" w:hAnsi="Times New Roman"/>
          <w:b/>
          <w:sz w:val="24"/>
          <w:szCs w:val="24"/>
          <w:lang w:val="uk-UA"/>
        </w:rPr>
        <w:t>3. Інформація про проведені загальні збори акціонерів (учасників) та загальний опис прийнятих на зборах рішень</w:t>
      </w:r>
    </w:p>
    <w:p>
      <w:pPr>
        <w:pStyle w:val="Normal"/>
        <w:spacing w:before="0" w:after="0"/>
        <w:jc w:val="both"/>
        <w:rPr>
          <w:rFonts w:ascii="Times New Roman" w:hAnsi="Times New Roman"/>
          <w:sz w:val="24"/>
          <w:szCs w:val="24"/>
          <w:highlight w:val="yellow"/>
          <w:lang w:val="uk-UA"/>
        </w:rPr>
      </w:pPr>
      <w:r>
        <w:rPr>
          <w:rFonts w:ascii="Times New Roman" w:hAnsi="Times New Roman"/>
          <w:sz w:val="24"/>
          <w:szCs w:val="24"/>
          <w:lang w:val="uk-UA"/>
        </w:rPr>
        <w:t>Протягом 2018 року Товариством проведені загальні збори</w:t>
      </w:r>
      <w:r>
        <w:rPr>
          <w:rFonts w:ascii="Times New Roman" w:hAnsi="Times New Roman"/>
          <w:sz w:val="24"/>
          <w:szCs w:val="24"/>
          <w:highlight w:val="white"/>
          <w:lang w:val="uk-UA"/>
        </w:rPr>
        <w:t xml:space="preserve"> учасників від 26.04.2018 року під час яких були прийняті рішення про:</w:t>
      </w:r>
    </w:p>
    <w:p>
      <w:pPr>
        <w:pStyle w:val="Normal"/>
        <w:spacing w:before="0" w:after="0"/>
        <w:jc w:val="both"/>
        <w:rPr>
          <w:highlight w:val="white"/>
        </w:rPr>
      </w:pPr>
      <w:r>
        <w:rPr>
          <w:rFonts w:ascii="Times New Roman" w:hAnsi="Times New Roman"/>
          <w:sz w:val="24"/>
          <w:szCs w:val="24"/>
          <w:highlight w:val="white"/>
          <w:lang w:val="uk-UA"/>
        </w:rPr>
        <w:t>- нарахування та виплату дивідендів учасникам товариства за результатами роботи в 4-му кварталі 2017 року;</w:t>
      </w:r>
    </w:p>
    <w:p>
      <w:pPr>
        <w:pStyle w:val="Normal"/>
        <w:spacing w:before="0" w:after="0"/>
        <w:jc w:val="both"/>
        <w:rPr>
          <w:highlight w:val="white"/>
        </w:rPr>
      </w:pPr>
      <w:r>
        <w:rPr>
          <w:rFonts w:ascii="Times New Roman" w:hAnsi="Times New Roman"/>
          <w:sz w:val="24"/>
          <w:szCs w:val="24"/>
          <w:highlight w:val="white"/>
          <w:lang w:val="uk-UA"/>
        </w:rPr>
        <w:t>- про прийняття рішення про випуск та розміщення опціонних сертифікатів, затвердження протоколу рішення про розміщення опціонних сертифікатів та проспекту емісії опціонних сертифікатів;</w:t>
      </w:r>
    </w:p>
    <w:p>
      <w:pPr>
        <w:pStyle w:val="Normal"/>
        <w:spacing w:before="0" w:after="0"/>
        <w:jc w:val="both"/>
        <w:rPr>
          <w:highlight w:val="white"/>
        </w:rPr>
      </w:pPr>
      <w:r>
        <w:rPr>
          <w:rFonts w:ascii="Times New Roman" w:hAnsi="Times New Roman"/>
          <w:sz w:val="24"/>
          <w:szCs w:val="24"/>
          <w:highlight w:val="white"/>
          <w:lang w:val="uk-UA"/>
        </w:rPr>
        <w:t>- про внесення змін до дод. договору №69/К/17/1 від 25.10.17 р. до ген.договору №69/К/17 від 25.10.17 р. (зміна графіка кредитної лінії)</w:t>
      </w:r>
    </w:p>
    <w:p>
      <w:pPr>
        <w:pStyle w:val="Normal"/>
        <w:spacing w:before="0" w:after="0"/>
        <w:jc w:val="both"/>
        <w:rPr>
          <w:highlight w:val="white"/>
        </w:rPr>
      </w:pPr>
      <w:r>
        <w:rPr>
          <w:rFonts w:ascii="Times New Roman" w:hAnsi="Times New Roman"/>
          <w:sz w:val="24"/>
          <w:szCs w:val="24"/>
          <w:highlight w:val="white"/>
          <w:lang w:val="uk-UA"/>
        </w:rPr>
        <w:t>- про розгляд і затвердження бухгалтерського та фінансового звіту про результати діяльності Товариства за 2017 рік;</w:t>
      </w:r>
    </w:p>
    <w:p>
      <w:pPr>
        <w:pStyle w:val="Normal"/>
        <w:spacing w:before="0" w:after="0"/>
        <w:jc w:val="both"/>
        <w:rPr>
          <w:highlight w:val="white"/>
        </w:rPr>
      </w:pPr>
      <w:r>
        <w:rPr>
          <w:rFonts w:ascii="Times New Roman" w:hAnsi="Times New Roman"/>
          <w:sz w:val="24"/>
          <w:szCs w:val="24"/>
          <w:highlight w:val="white"/>
          <w:lang w:val="uk-UA"/>
        </w:rPr>
        <w:t xml:space="preserve">- про затвердження </w:t>
      </w:r>
      <w:bookmarkStart w:id="0" w:name="__DdeLink__154_1979941801"/>
      <w:bookmarkEnd w:id="0"/>
      <w:r>
        <w:rPr>
          <w:rFonts w:ascii="Times New Roman" w:hAnsi="Times New Roman"/>
          <w:sz w:val="24"/>
          <w:szCs w:val="24"/>
          <w:highlight w:val="white"/>
          <w:lang w:val="uk-UA"/>
        </w:rPr>
        <w:t>порядку розподілу прибутку, триманого Товариством за результатами господарської діяльності в попередніх періодах;</w:t>
      </w:r>
    </w:p>
    <w:p>
      <w:pPr>
        <w:pStyle w:val="Normal"/>
        <w:spacing w:before="0" w:after="0"/>
        <w:jc w:val="both"/>
        <w:rPr>
          <w:highlight w:val="white"/>
        </w:rPr>
      </w:pPr>
      <w:r>
        <w:rPr>
          <w:rFonts w:ascii="Times New Roman" w:hAnsi="Times New Roman"/>
          <w:sz w:val="24"/>
          <w:szCs w:val="24"/>
          <w:highlight w:val="white"/>
          <w:lang w:val="uk-UA"/>
        </w:rPr>
        <w:t>- про розірвання Товариством договору оренди нежитлових приміщень з ТзОВ “РСП “Шувар”;</w:t>
      </w:r>
    </w:p>
    <w:p>
      <w:pPr>
        <w:pStyle w:val="Normal"/>
        <w:spacing w:before="0" w:after="0"/>
        <w:jc w:val="both"/>
        <w:rPr>
          <w:highlight w:val="white"/>
        </w:rPr>
      </w:pPr>
      <w:r>
        <w:rPr>
          <w:rFonts w:ascii="Times New Roman" w:hAnsi="Times New Roman"/>
          <w:sz w:val="24"/>
          <w:szCs w:val="24"/>
          <w:highlight w:val="white"/>
          <w:lang w:val="uk-UA"/>
        </w:rPr>
        <w:t>- про затвердження Статуту Товариства з обмеженою діяльністю “Шувар” в новій редакції;</w:t>
      </w:r>
    </w:p>
    <w:p>
      <w:pPr>
        <w:pStyle w:val="Normal"/>
        <w:spacing w:before="0" w:after="0"/>
        <w:jc w:val="both"/>
        <w:rPr>
          <w:highlight w:val="white"/>
        </w:rPr>
      </w:pPr>
      <w:r>
        <w:rPr>
          <w:rFonts w:ascii="Times New Roman" w:hAnsi="Times New Roman"/>
          <w:sz w:val="24"/>
          <w:szCs w:val="24"/>
          <w:highlight w:val="white"/>
          <w:lang w:val="uk-UA"/>
        </w:rPr>
        <w:t>- про затвердження порядку розподілу прибутку, триманого Товариством за результатами господарської діяльності в 2-му кварталі 2018 року;</w:t>
      </w:r>
    </w:p>
    <w:p>
      <w:pPr>
        <w:pStyle w:val="Normal"/>
        <w:spacing w:before="0" w:after="0"/>
        <w:jc w:val="both"/>
        <w:rPr>
          <w:highlight w:val="white"/>
        </w:rPr>
      </w:pPr>
      <w:r>
        <w:rPr>
          <w:rFonts w:ascii="Times New Roman" w:hAnsi="Times New Roman"/>
          <w:sz w:val="24"/>
          <w:szCs w:val="24"/>
          <w:highlight w:val="white"/>
          <w:lang w:val="uk-UA"/>
        </w:rPr>
        <w:t>- про нарахування та виплати дивідендів учасникам Товариства у 3-му кварталі 2018 року.</w:t>
      </w:r>
    </w:p>
    <w:p>
      <w:pPr>
        <w:pStyle w:val="Normal"/>
        <w:spacing w:before="0" w:after="0"/>
        <w:jc w:val="both"/>
        <w:rPr>
          <w:rFonts w:ascii="Times New Roman" w:hAnsi="Times New Roman"/>
          <w:sz w:val="24"/>
          <w:szCs w:val="24"/>
          <w:lang w:val="uk-UA"/>
        </w:rPr>
      </w:pPr>
      <w:r>
        <w:rPr>
          <w:rFonts w:ascii="Times New Roman" w:hAnsi="Times New Roman"/>
          <w:sz w:val="24"/>
          <w:szCs w:val="24"/>
          <w:lang w:val="uk-UA"/>
        </w:rPr>
      </w:r>
    </w:p>
    <w:p>
      <w:pPr>
        <w:pStyle w:val="Normal"/>
        <w:spacing w:before="0" w:after="0"/>
        <w:jc w:val="both"/>
        <w:rPr>
          <w:rFonts w:ascii="Times New Roman" w:hAnsi="Times New Roman"/>
          <w:b/>
          <w:b/>
          <w:sz w:val="24"/>
          <w:szCs w:val="24"/>
          <w:lang w:val="uk-UA"/>
        </w:rPr>
      </w:pPr>
      <w:r>
        <w:rPr>
          <w:rFonts w:ascii="Times New Roman" w:hAnsi="Times New Roman"/>
          <w:b/>
          <w:sz w:val="24"/>
          <w:szCs w:val="24"/>
          <w:shd w:fill="FFFFFF" w:val="clear"/>
          <w:lang w:val="uk-UA"/>
        </w:rPr>
        <w:t>4. Персональний склад наглядової ради та колегіального виконавчого органу (за наявності) емітента, їх комітетів (за наявності), інформацію про проведені засідання та загальний опис прийнятих на них рішень.</w:t>
      </w:r>
    </w:p>
    <w:p>
      <w:pPr>
        <w:pStyle w:val="Normal"/>
        <w:spacing w:before="0" w:after="0"/>
        <w:jc w:val="both"/>
        <w:rPr>
          <w:rFonts w:ascii="Times New Roman" w:hAnsi="Times New Roman"/>
          <w:sz w:val="24"/>
          <w:szCs w:val="24"/>
          <w:highlight w:val="white"/>
          <w:lang w:val="uk-UA"/>
        </w:rPr>
      </w:pPr>
      <w:r>
        <w:rPr>
          <w:rFonts w:ascii="Times New Roman" w:hAnsi="Times New Roman"/>
          <w:sz w:val="24"/>
          <w:szCs w:val="24"/>
          <w:shd w:fill="FFFFFF" w:val="clear"/>
          <w:lang w:val="uk-UA"/>
        </w:rPr>
        <w:t>Передбачена п.8.6. Статуту ТзОВ «Шувар» наглядова рада в Товаристві не створювалась.</w:t>
      </w:r>
    </w:p>
    <w:p>
      <w:pPr>
        <w:pStyle w:val="Normal"/>
        <w:spacing w:before="0" w:after="0"/>
        <w:jc w:val="both"/>
        <w:rPr>
          <w:rFonts w:ascii="Times New Roman" w:hAnsi="Times New Roman"/>
          <w:b/>
          <w:b/>
          <w:sz w:val="24"/>
          <w:szCs w:val="24"/>
          <w:lang w:val="uk-UA"/>
        </w:rPr>
      </w:pPr>
      <w:r>
        <w:rPr>
          <w:rFonts w:ascii="Times New Roman" w:hAnsi="Times New Roman"/>
          <w:sz w:val="24"/>
          <w:szCs w:val="24"/>
          <w:shd w:fill="FFFFFF" w:val="clear"/>
          <w:lang w:val="uk-UA"/>
        </w:rPr>
        <w:t>Виконавчим органом Товариства є Директор, який обирається загальними зборами учасників на підставі п.п. 8.2.5. Статуту.</w:t>
      </w:r>
    </w:p>
    <w:p>
      <w:pPr>
        <w:pStyle w:val="Normal"/>
        <w:spacing w:before="0" w:after="0"/>
        <w:jc w:val="both"/>
        <w:rPr>
          <w:rFonts w:ascii="Times New Roman" w:hAnsi="Times New Roman"/>
          <w:b/>
          <w:b/>
          <w:sz w:val="24"/>
          <w:szCs w:val="24"/>
          <w:highlight w:val="white"/>
          <w:lang w:val="uk-UA"/>
        </w:rPr>
      </w:pPr>
      <w:r>
        <w:rPr>
          <w:rFonts w:ascii="Times New Roman" w:hAnsi="Times New Roman"/>
          <w:sz w:val="24"/>
          <w:szCs w:val="24"/>
          <w:shd w:fill="FFFFFF" w:val="clear"/>
          <w:lang w:val="uk-UA"/>
        </w:rPr>
        <w:t>Директором ТзОВ «Шувар» є Боднар Ольга Іванівна, дата народження - 23.01.1960р.; РНОКПП – 2193717267; Номер паспорта – КА 237146; Громадянство – України; Резидентність – Резидент.</w:t>
      </w:r>
    </w:p>
    <w:p>
      <w:pPr>
        <w:pStyle w:val="Normal"/>
        <w:spacing w:before="0" w:after="0"/>
        <w:jc w:val="both"/>
        <w:rPr>
          <w:rFonts w:ascii="Times New Roman" w:hAnsi="Times New Roman"/>
          <w:sz w:val="24"/>
          <w:szCs w:val="24"/>
          <w:lang w:val="uk-UA"/>
        </w:rPr>
      </w:pPr>
      <w:r>
        <w:rPr>
          <w:rFonts w:ascii="Times New Roman" w:hAnsi="Times New Roman"/>
          <w:sz w:val="24"/>
          <w:szCs w:val="24"/>
          <w:lang w:val="uk-UA"/>
        </w:rPr>
      </w:r>
    </w:p>
    <w:p>
      <w:pPr>
        <w:pStyle w:val="Normal"/>
        <w:spacing w:before="0" w:after="0"/>
        <w:jc w:val="both"/>
        <w:rPr>
          <w:rFonts w:ascii="Times New Roman" w:hAnsi="Times New Roman"/>
          <w:sz w:val="24"/>
          <w:szCs w:val="24"/>
          <w:lang w:val="uk-UA"/>
        </w:rPr>
      </w:pPr>
      <w:r>
        <w:rPr>
          <w:rFonts w:ascii="Times New Roman" w:hAnsi="Times New Roman"/>
          <w:b/>
          <w:sz w:val="24"/>
          <w:szCs w:val="24"/>
          <w:lang w:val="uk-UA"/>
        </w:rPr>
        <w:t>5. Опис основних характеристик систем внутрішнього контролю і управління ризиками емітента.</w:t>
      </w:r>
      <w:r>
        <w:rPr>
          <w:rFonts w:ascii="Times New Roman" w:hAnsi="Times New Roman"/>
          <w:sz w:val="24"/>
          <w:szCs w:val="24"/>
          <w:lang w:val="uk-UA"/>
        </w:rPr>
        <w:t xml:space="preserve"> </w:t>
      </w:r>
    </w:p>
    <w:p>
      <w:pPr>
        <w:pStyle w:val="Normal"/>
        <w:spacing w:before="0" w:after="0"/>
        <w:jc w:val="both"/>
        <w:rPr>
          <w:lang w:val="uk-UA"/>
        </w:rPr>
      </w:pPr>
      <w:r>
        <w:rPr>
          <w:rFonts w:ascii="Times New Roman" w:hAnsi="Times New Roman"/>
          <w:sz w:val="24"/>
          <w:szCs w:val="24"/>
          <w:lang w:val="uk-UA"/>
        </w:rPr>
        <w:t>В Товаристві розроблена та функціонує система внутрішнього контролю і управління ризиками. Так, Директор є підзвітний загальним зборам учасників та організовує виконання їх рішень. Функцію внутрішнього контролю покладено на Директора Товариства. Затвердження річних результатів діяльності Товариства, затвердження звітів і висновків наглядової ради, порядку розподілу прибутку, строку та порядку виплати частки прибутку (дивідендів), визначення порядку покриття збитків здійснюється Загальними зборами учасників Товариства.</w:t>
      </w:r>
    </w:p>
    <w:p>
      <w:pPr>
        <w:pStyle w:val="Normal"/>
        <w:spacing w:before="0" w:after="0"/>
        <w:jc w:val="both"/>
        <w:rPr>
          <w:rFonts w:ascii="Times New Roman" w:hAnsi="Times New Roman"/>
          <w:sz w:val="24"/>
          <w:szCs w:val="24"/>
          <w:lang w:val="uk-UA"/>
        </w:rPr>
      </w:pPr>
      <w:r>
        <w:rPr>
          <w:rFonts w:ascii="Times New Roman" w:hAnsi="Times New Roman"/>
          <w:sz w:val="24"/>
          <w:szCs w:val="24"/>
          <w:lang w:val="uk-UA"/>
        </w:rPr>
      </w:r>
    </w:p>
    <w:p>
      <w:pPr>
        <w:pStyle w:val="Normal"/>
        <w:spacing w:before="0" w:after="0"/>
        <w:jc w:val="both"/>
        <w:rPr>
          <w:rFonts w:ascii="Times New Roman" w:hAnsi="Times New Roman"/>
          <w:b/>
          <w:b/>
          <w:sz w:val="24"/>
          <w:szCs w:val="24"/>
          <w:lang w:val="uk-UA"/>
        </w:rPr>
      </w:pPr>
      <w:r>
        <w:rPr>
          <w:rFonts w:ascii="Times New Roman" w:hAnsi="Times New Roman"/>
          <w:b/>
          <w:sz w:val="24"/>
          <w:szCs w:val="24"/>
          <w:lang w:val="uk-UA"/>
        </w:rPr>
        <w:t>6. Перелік осіб, які прямо або опосередковано є власниками значного пакета акцій емітента.</w:t>
      </w:r>
    </w:p>
    <w:p>
      <w:pPr>
        <w:pStyle w:val="Normal"/>
        <w:spacing w:before="0" w:after="0"/>
        <w:jc w:val="both"/>
        <w:rPr>
          <w:rFonts w:ascii="Times New Roman" w:hAnsi="Times New Roman"/>
          <w:sz w:val="24"/>
          <w:szCs w:val="24"/>
          <w:lang w:val="uk-UA"/>
        </w:rPr>
      </w:pPr>
      <w:r>
        <w:rPr>
          <w:rFonts w:ascii="Times New Roman" w:hAnsi="Times New Roman"/>
          <w:sz w:val="24"/>
          <w:szCs w:val="24"/>
          <w:highlight w:val="white"/>
          <w:lang w:val="uk-UA"/>
        </w:rPr>
        <w:t>Пункт не розкривається, оскільки ТзОВ «Шувар» не є акціонерним товариством.</w:t>
      </w:r>
    </w:p>
    <w:p>
      <w:pPr>
        <w:pStyle w:val="Normal"/>
        <w:spacing w:before="0" w:after="0"/>
        <w:jc w:val="both"/>
        <w:rPr>
          <w:rFonts w:ascii="Times New Roman" w:hAnsi="Times New Roman"/>
          <w:sz w:val="24"/>
          <w:szCs w:val="24"/>
          <w:lang w:val="uk-UA"/>
        </w:rPr>
      </w:pPr>
      <w:r>
        <w:rPr>
          <w:rFonts w:ascii="Times New Roman" w:hAnsi="Times New Roman"/>
          <w:sz w:val="24"/>
          <w:szCs w:val="24"/>
          <w:lang w:val="uk-UA"/>
        </w:rPr>
        <w:t>Учасниками Товариства, що володіють 99,54% корпоративних прав станом на 31.12.2018 року є:</w:t>
      </w:r>
    </w:p>
    <w:p>
      <w:pPr>
        <w:pStyle w:val="ListParagraph"/>
        <w:numPr>
          <w:ilvl w:val="0"/>
          <w:numId w:val="1"/>
        </w:numPr>
        <w:tabs>
          <w:tab w:val="left" w:pos="993" w:leader="none"/>
        </w:tabs>
        <w:spacing w:before="0" w:after="0"/>
        <w:ind w:left="0" w:firstLine="709"/>
        <w:jc w:val="both"/>
        <w:rPr>
          <w:rFonts w:ascii="Times New Roman" w:hAnsi="Times New Roman"/>
          <w:sz w:val="24"/>
          <w:szCs w:val="24"/>
          <w:lang w:val="uk-UA"/>
        </w:rPr>
      </w:pPr>
      <w:r>
        <w:rPr>
          <w:rFonts w:ascii="Times New Roman" w:hAnsi="Times New Roman"/>
          <w:sz w:val="24"/>
          <w:szCs w:val="24"/>
        </w:rPr>
        <w:t>Федишин Роман Степанович</w:t>
      </w:r>
      <w:r>
        <w:rPr>
          <w:rFonts w:ascii="Times New Roman" w:hAnsi="Times New Roman"/>
          <w:sz w:val="24"/>
          <w:szCs w:val="24"/>
          <w:lang w:val="uk-UA"/>
        </w:rPr>
        <w:t>, сума внеску 2 323 000,00 грн., що становить 50,5% корпоративних прав;</w:t>
      </w:r>
    </w:p>
    <w:p>
      <w:pPr>
        <w:pStyle w:val="ListParagraph"/>
        <w:numPr>
          <w:ilvl w:val="0"/>
          <w:numId w:val="1"/>
        </w:numPr>
        <w:tabs>
          <w:tab w:val="left" w:pos="993" w:leader="none"/>
        </w:tabs>
        <w:spacing w:before="0" w:after="0"/>
        <w:ind w:left="0" w:firstLine="709"/>
        <w:jc w:val="both"/>
        <w:rPr>
          <w:rFonts w:ascii="Times New Roman" w:hAnsi="Times New Roman"/>
          <w:sz w:val="24"/>
          <w:szCs w:val="24"/>
          <w:lang w:val="uk-UA"/>
        </w:rPr>
      </w:pPr>
      <w:r>
        <w:rPr>
          <w:rFonts w:ascii="Times New Roman" w:hAnsi="Times New Roman"/>
          <w:sz w:val="24"/>
          <w:szCs w:val="24"/>
        </w:rPr>
        <w:t>Чіпчар Андрій Романович</w:t>
      </w:r>
      <w:r>
        <w:rPr>
          <w:rFonts w:ascii="Times New Roman" w:hAnsi="Times New Roman"/>
          <w:sz w:val="24"/>
          <w:szCs w:val="24"/>
          <w:lang w:val="uk-UA"/>
        </w:rPr>
        <w:t>, сума внеску 1 242 000,00 грн., що становить 27,0% корпоративних прав;</w:t>
      </w:r>
    </w:p>
    <w:p>
      <w:pPr>
        <w:pStyle w:val="ListParagraph"/>
        <w:numPr>
          <w:ilvl w:val="0"/>
          <w:numId w:val="1"/>
        </w:numPr>
        <w:tabs>
          <w:tab w:val="left" w:pos="993" w:leader="none"/>
        </w:tabs>
        <w:spacing w:before="0" w:after="0"/>
        <w:ind w:left="0" w:firstLine="709"/>
        <w:jc w:val="both"/>
        <w:rPr>
          <w:rFonts w:ascii="Times New Roman" w:hAnsi="Times New Roman"/>
          <w:sz w:val="24"/>
          <w:szCs w:val="24"/>
          <w:lang w:val="uk-UA"/>
        </w:rPr>
      </w:pPr>
      <w:r>
        <w:rPr>
          <w:rFonts w:ascii="Times New Roman" w:hAnsi="Times New Roman"/>
          <w:sz w:val="24"/>
          <w:szCs w:val="24"/>
        </w:rPr>
        <w:t>Бокало Любов Миколаївна</w:t>
      </w:r>
      <w:r>
        <w:rPr>
          <w:rFonts w:ascii="Times New Roman" w:hAnsi="Times New Roman"/>
          <w:sz w:val="24"/>
          <w:szCs w:val="24"/>
          <w:lang w:val="uk-UA"/>
        </w:rPr>
        <w:t>, сума внеску 444 682,00 грн., що становить 9,67% корпоративних прав;</w:t>
      </w:r>
    </w:p>
    <w:p>
      <w:pPr>
        <w:pStyle w:val="ListParagraph"/>
        <w:numPr>
          <w:ilvl w:val="0"/>
          <w:numId w:val="1"/>
        </w:numPr>
        <w:tabs>
          <w:tab w:val="left" w:pos="993" w:leader="none"/>
        </w:tabs>
        <w:spacing w:before="0" w:after="0"/>
        <w:ind w:left="0" w:firstLine="709"/>
        <w:jc w:val="both"/>
        <w:rPr>
          <w:rFonts w:ascii="Times New Roman" w:hAnsi="Times New Roman"/>
          <w:sz w:val="24"/>
          <w:szCs w:val="24"/>
          <w:lang w:val="uk-UA"/>
        </w:rPr>
      </w:pPr>
      <w:r>
        <w:rPr>
          <w:rFonts w:ascii="Times New Roman" w:hAnsi="Times New Roman"/>
          <w:sz w:val="24"/>
          <w:szCs w:val="24"/>
        </w:rPr>
        <w:t>Доскоч Любов Євгенівна</w:t>
      </w:r>
      <w:r>
        <w:rPr>
          <w:rFonts w:ascii="Times New Roman" w:hAnsi="Times New Roman"/>
          <w:sz w:val="24"/>
          <w:szCs w:val="24"/>
          <w:lang w:val="uk-UA"/>
        </w:rPr>
        <w:t>, сума внеску 453 866,67 грн., що становить 9,87% корпоративних прав;</w:t>
      </w:r>
    </w:p>
    <w:p>
      <w:pPr>
        <w:pStyle w:val="ListParagraph"/>
        <w:numPr>
          <w:ilvl w:val="0"/>
          <w:numId w:val="1"/>
        </w:numPr>
        <w:tabs>
          <w:tab w:val="left" w:pos="993" w:leader="none"/>
        </w:tabs>
        <w:spacing w:before="0" w:after="0"/>
        <w:ind w:left="0" w:firstLine="709"/>
        <w:jc w:val="both"/>
        <w:rPr>
          <w:rFonts w:ascii="Times New Roman" w:hAnsi="Times New Roman"/>
          <w:sz w:val="24"/>
          <w:szCs w:val="24"/>
          <w:lang w:val="uk-UA"/>
        </w:rPr>
      </w:pPr>
      <w:r>
        <w:rPr>
          <w:rFonts w:ascii="Times New Roman" w:hAnsi="Times New Roman"/>
          <w:sz w:val="24"/>
          <w:szCs w:val="24"/>
        </w:rPr>
        <w:t>Федишин Наталія Вікторівна</w:t>
      </w:r>
      <w:r>
        <w:rPr>
          <w:rFonts w:ascii="Times New Roman" w:hAnsi="Times New Roman"/>
          <w:sz w:val="24"/>
          <w:szCs w:val="24"/>
          <w:lang w:val="uk-UA"/>
        </w:rPr>
        <w:t>, сума внеску 115 000,00 грн., що становить 2,5% корпоративних прав</w:t>
      </w:r>
    </w:p>
    <w:p>
      <w:pPr>
        <w:pStyle w:val="Normal"/>
        <w:spacing w:before="0" w:after="0"/>
        <w:jc w:val="both"/>
        <w:rPr>
          <w:rFonts w:ascii="Times New Roman" w:hAnsi="Times New Roman"/>
          <w:sz w:val="24"/>
          <w:szCs w:val="24"/>
          <w:lang w:val="uk-UA"/>
        </w:rPr>
      </w:pPr>
      <w:r>
        <w:rPr>
          <w:rFonts w:ascii="Times New Roman" w:hAnsi="Times New Roman"/>
          <w:sz w:val="24"/>
          <w:szCs w:val="24"/>
          <w:lang w:val="uk-UA"/>
        </w:rPr>
        <w:t>Вилучений (викуплений товариством) капітал становить 21 451,33 грн., що складає 0,46% статутного капіталу Товариства.</w:t>
      </w:r>
    </w:p>
    <w:p>
      <w:pPr>
        <w:pStyle w:val="Normal"/>
        <w:spacing w:before="0" w:after="0"/>
        <w:jc w:val="both"/>
        <w:rPr>
          <w:lang w:val="uk-UA"/>
        </w:rPr>
      </w:pPr>
      <w:r>
        <w:rPr>
          <w:lang w:val="uk-UA"/>
        </w:rPr>
      </w:r>
    </w:p>
    <w:p>
      <w:pPr>
        <w:pStyle w:val="Normal"/>
        <w:spacing w:before="0" w:after="0"/>
        <w:jc w:val="both"/>
        <w:rPr>
          <w:rFonts w:ascii="Times New Roman" w:hAnsi="Times New Roman"/>
          <w:b/>
          <w:b/>
          <w:sz w:val="24"/>
          <w:szCs w:val="24"/>
          <w:lang w:val="uk-UA"/>
        </w:rPr>
      </w:pPr>
      <w:r>
        <w:rPr>
          <w:rFonts w:ascii="Times New Roman" w:hAnsi="Times New Roman"/>
          <w:b/>
          <w:sz w:val="24"/>
          <w:szCs w:val="24"/>
          <w:lang w:val="uk-UA"/>
        </w:rPr>
        <w:t>7. Інформація про будь-які обмеження прав участі та голосування акціонерів (учасників) на загальних зборах емітента.</w:t>
      </w:r>
    </w:p>
    <w:p>
      <w:pPr>
        <w:pStyle w:val="Normal"/>
        <w:spacing w:before="0" w:after="0"/>
        <w:jc w:val="both"/>
        <w:rPr>
          <w:rFonts w:ascii="Times New Roman" w:hAnsi="Times New Roman"/>
          <w:b/>
          <w:b/>
          <w:sz w:val="24"/>
          <w:szCs w:val="24"/>
          <w:lang w:val="uk-UA"/>
        </w:rPr>
      </w:pPr>
      <w:r>
        <w:rPr>
          <w:rFonts w:ascii="Times New Roman" w:hAnsi="Times New Roman"/>
          <w:sz w:val="24"/>
          <w:szCs w:val="24"/>
          <w:lang w:val="uk-UA"/>
        </w:rPr>
        <w:t xml:space="preserve">Будь-які обмеження прав участі та голосування учасників ТзОВ «Шувар» </w:t>
      </w:r>
      <w:bookmarkStart w:id="1" w:name="_GoBack"/>
      <w:r>
        <w:rPr>
          <w:rFonts w:ascii="Times New Roman" w:hAnsi="Times New Roman"/>
          <w:sz w:val="24"/>
          <w:szCs w:val="24"/>
          <w:lang w:val="uk-UA"/>
        </w:rPr>
        <w:t xml:space="preserve">статутом </w:t>
      </w:r>
      <w:bookmarkEnd w:id="1"/>
      <w:r>
        <w:rPr>
          <w:rFonts w:ascii="Times New Roman" w:hAnsi="Times New Roman"/>
          <w:sz w:val="24"/>
          <w:szCs w:val="24"/>
          <w:lang w:val="uk-UA"/>
        </w:rPr>
        <w:t>не передбачені.</w:t>
      </w:r>
    </w:p>
    <w:p>
      <w:pPr>
        <w:pStyle w:val="Normal"/>
        <w:spacing w:before="0" w:after="0"/>
        <w:jc w:val="both"/>
        <w:rPr>
          <w:rFonts w:ascii="Times New Roman" w:hAnsi="Times New Roman"/>
          <w:sz w:val="24"/>
          <w:szCs w:val="24"/>
          <w:lang w:val="uk-UA"/>
        </w:rPr>
      </w:pPr>
      <w:r>
        <w:rPr>
          <w:rFonts w:ascii="Times New Roman" w:hAnsi="Times New Roman"/>
          <w:sz w:val="24"/>
          <w:szCs w:val="24"/>
          <w:lang w:val="uk-UA"/>
        </w:rPr>
      </w:r>
    </w:p>
    <w:p>
      <w:pPr>
        <w:pStyle w:val="Normal"/>
        <w:spacing w:before="0" w:after="0"/>
        <w:jc w:val="both"/>
        <w:rPr>
          <w:rFonts w:ascii="Times New Roman" w:hAnsi="Times New Roman"/>
          <w:sz w:val="24"/>
          <w:szCs w:val="24"/>
          <w:lang w:val="uk-UA"/>
        </w:rPr>
      </w:pPr>
      <w:r>
        <w:rPr>
          <w:rFonts w:ascii="Times New Roman" w:hAnsi="Times New Roman"/>
          <w:sz w:val="24"/>
          <w:szCs w:val="24"/>
          <w:lang w:val="uk-UA"/>
        </w:rPr>
      </w:r>
    </w:p>
    <w:p>
      <w:pPr>
        <w:pStyle w:val="Normal"/>
        <w:spacing w:before="0" w:after="0"/>
        <w:jc w:val="both"/>
        <w:rPr>
          <w:rFonts w:ascii="Times New Roman" w:hAnsi="Times New Roman"/>
          <w:sz w:val="24"/>
          <w:szCs w:val="24"/>
          <w:lang w:val="uk-UA"/>
        </w:rPr>
      </w:pPr>
      <w:r>
        <w:rPr>
          <w:rFonts w:ascii="Times New Roman" w:hAnsi="Times New Roman"/>
          <w:sz w:val="24"/>
          <w:szCs w:val="24"/>
          <w:lang w:val="uk-UA"/>
        </w:rPr>
      </w:r>
    </w:p>
    <w:p>
      <w:pPr>
        <w:pStyle w:val="Normal"/>
        <w:spacing w:before="0" w:after="0"/>
        <w:jc w:val="both"/>
        <w:rPr>
          <w:rFonts w:ascii="Times New Roman" w:hAnsi="Times New Roman"/>
          <w:b/>
          <w:b/>
          <w:sz w:val="24"/>
          <w:szCs w:val="24"/>
          <w:lang w:val="uk-UA"/>
        </w:rPr>
      </w:pPr>
      <w:r>
        <w:rPr>
          <w:rFonts w:ascii="Times New Roman" w:hAnsi="Times New Roman"/>
          <w:b/>
          <w:sz w:val="24"/>
          <w:szCs w:val="24"/>
          <w:lang w:val="uk-UA"/>
        </w:rPr>
        <w:t>8</w:t>
      </w:r>
      <w:r>
        <w:rPr>
          <w:rFonts w:ascii="Times New Roman" w:hAnsi="Times New Roman"/>
          <w:sz w:val="24"/>
          <w:szCs w:val="24"/>
          <w:lang w:val="uk-UA"/>
        </w:rPr>
        <w:t>.</w:t>
      </w:r>
      <w:r>
        <w:rPr>
          <w:rFonts w:ascii="Times New Roman" w:hAnsi="Times New Roman"/>
          <w:b/>
          <w:sz w:val="24"/>
          <w:szCs w:val="24"/>
          <w:lang w:val="uk-UA"/>
        </w:rPr>
        <w:t xml:space="preserve"> Порядок призначення та звільнення посадових осіб Товариства.</w:t>
      </w:r>
    </w:p>
    <w:p>
      <w:pPr>
        <w:pStyle w:val="Normal"/>
        <w:spacing w:before="0" w:after="0"/>
        <w:jc w:val="both"/>
        <w:rPr>
          <w:rFonts w:ascii="Times New Roman" w:hAnsi="Times New Roman"/>
          <w:b/>
          <w:b/>
          <w:sz w:val="24"/>
          <w:szCs w:val="24"/>
          <w:lang w:val="uk-UA"/>
        </w:rPr>
      </w:pPr>
      <w:r>
        <w:rPr>
          <w:rFonts w:ascii="Times New Roman" w:hAnsi="Times New Roman"/>
          <w:sz w:val="24"/>
          <w:szCs w:val="24"/>
          <w:lang w:val="uk-UA"/>
        </w:rPr>
        <w:t>Виконавчим органом Товариства є Директор, обрання та відкликання якого належить до виключної компетенції загальних зборів учасників Товариства на підставі п.п. 8.2.5. Статуту ТзОВ «Шувар».</w:t>
      </w:r>
    </w:p>
    <w:p>
      <w:pPr>
        <w:pStyle w:val="Normal"/>
        <w:spacing w:before="0" w:after="0"/>
        <w:jc w:val="both"/>
        <w:rPr>
          <w:rFonts w:ascii="Times New Roman" w:hAnsi="Times New Roman"/>
          <w:b/>
          <w:b/>
          <w:sz w:val="24"/>
          <w:szCs w:val="24"/>
          <w:lang w:val="uk-UA"/>
        </w:rPr>
      </w:pPr>
      <w:r>
        <w:rPr>
          <w:rFonts w:ascii="Times New Roman" w:hAnsi="Times New Roman"/>
          <w:b/>
          <w:sz w:val="24"/>
          <w:szCs w:val="24"/>
          <w:lang w:val="uk-UA"/>
        </w:rPr>
      </w:r>
    </w:p>
    <w:p>
      <w:pPr>
        <w:pStyle w:val="Normal"/>
        <w:spacing w:before="0" w:after="0"/>
        <w:jc w:val="both"/>
        <w:rPr>
          <w:rFonts w:ascii="Times New Roman" w:hAnsi="Times New Roman"/>
          <w:b/>
          <w:b/>
          <w:sz w:val="24"/>
          <w:szCs w:val="24"/>
          <w:lang w:val="uk-UA"/>
        </w:rPr>
      </w:pPr>
      <w:r>
        <w:rPr>
          <w:rFonts w:ascii="Times New Roman" w:hAnsi="Times New Roman"/>
          <w:b/>
          <w:sz w:val="24"/>
          <w:szCs w:val="24"/>
          <w:lang w:val="uk-UA"/>
        </w:rPr>
        <w:t>9</w:t>
      </w:r>
      <w:r>
        <w:rPr>
          <w:rFonts w:ascii="Times New Roman" w:hAnsi="Times New Roman"/>
          <w:sz w:val="24"/>
          <w:szCs w:val="24"/>
          <w:lang w:val="uk-UA"/>
        </w:rPr>
        <w:t xml:space="preserve">. </w:t>
      </w:r>
      <w:r>
        <w:rPr>
          <w:rFonts w:ascii="Times New Roman" w:hAnsi="Times New Roman"/>
          <w:b/>
          <w:sz w:val="24"/>
          <w:szCs w:val="24"/>
          <w:lang w:val="uk-UA"/>
        </w:rPr>
        <w:t>Повноваження посадових осіб Товариства.</w:t>
      </w:r>
    </w:p>
    <w:p>
      <w:pPr>
        <w:pStyle w:val="Normal"/>
        <w:spacing w:before="0" w:after="0"/>
        <w:jc w:val="both"/>
        <w:rPr>
          <w:rFonts w:ascii="Times New Roman" w:hAnsi="Times New Roman"/>
          <w:b/>
          <w:b/>
          <w:sz w:val="24"/>
          <w:szCs w:val="24"/>
          <w:lang w:val="uk-UA"/>
        </w:rPr>
      </w:pPr>
      <w:r>
        <w:rPr>
          <w:rFonts w:ascii="Times New Roman" w:hAnsi="Times New Roman"/>
          <w:color w:val="000000"/>
          <w:sz w:val="24"/>
          <w:szCs w:val="24"/>
          <w:lang w:val="uk-UA" w:eastAsia="ar-SA"/>
        </w:rPr>
        <w:t>Відповідно до п.п.</w:t>
      </w:r>
      <w:r>
        <w:rPr>
          <w:rFonts w:ascii="Times New Roman" w:hAnsi="Times New Roman"/>
          <w:b/>
          <w:color w:val="000000"/>
          <w:sz w:val="24"/>
          <w:szCs w:val="24"/>
          <w:lang w:val="uk-UA" w:eastAsia="ar-SA"/>
        </w:rPr>
        <w:t xml:space="preserve"> </w:t>
      </w:r>
      <w:r>
        <w:rPr>
          <w:rFonts w:ascii="Times New Roman" w:hAnsi="Times New Roman"/>
          <w:sz w:val="24"/>
          <w:szCs w:val="24"/>
          <w:lang w:val="uk-UA" w:eastAsia="ar-SA"/>
        </w:rPr>
        <w:t xml:space="preserve">8.7.1. Статуту ТзОВ «Шувар» Директор є виконавчим органом Товариства, який одноособово здійснює керівництво поточною господарською діяльністю Товариства, та обирається (призначається) Загальними зборами Учасників Товариства безстроково. Директор Товариства може бути звільнений із займаної посади лише за рішенням загальних зборів Учасників Товариства. </w:t>
      </w:r>
    </w:p>
    <w:p>
      <w:pPr>
        <w:pStyle w:val="Normal"/>
        <w:shd w:val="clear" w:color="auto" w:fill="FFFFFF"/>
        <w:tabs>
          <w:tab w:val="left" w:pos="562"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ab/>
        <w:t>Згідно із п.п. 8.7.2. Статуту ТзОВ «Шувар» Компетенція Директора Товариства щодо керівництва поточною діяльністю Товариства визначається наступними застереженнями:</w:t>
      </w:r>
    </w:p>
    <w:p>
      <w:pPr>
        <w:pStyle w:val="Normal"/>
        <w:shd w:val="clear" w:color="auto" w:fill="FFFFFF"/>
        <w:tabs>
          <w:tab w:val="left" w:pos="562"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8.7.2.1. Директор керується в своїй діяльності цим Статутом, рішеннями загальних зборів Учасників Товариства, внутрішніми документами Товариства, та чинним законодавством.</w:t>
      </w:r>
    </w:p>
    <w:p>
      <w:pPr>
        <w:pStyle w:val="Normal"/>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8.7.2.2. Директор підзвітний Загальним зборам Товариства та організує виконання їх рішень. Директор не вправі приймати рішення, обов'язкові для Учасників Товариства.</w:t>
      </w:r>
    </w:p>
    <w:p>
      <w:pPr>
        <w:pStyle w:val="Normal"/>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8.7.2.3. Директор вирішує всі питання діяльності Товариства, крім тих, що належать до компетенції Загальних зборів Учасників Товариства. Загальні збори Учасників Товариства можуть винести рішення про передачу частини повноважень, що належать їм, до компетенції Директора.</w:t>
      </w:r>
    </w:p>
    <w:p>
      <w:pPr>
        <w:pStyle w:val="Normal"/>
        <w:shd w:val="clear" w:color="auto" w:fill="FFFFFF"/>
        <w:tabs>
          <w:tab w:val="left" w:pos="562"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ab/>
        <w:t>А, у відповідності до п.п. 8.7.3.</w:t>
      </w:r>
      <w:r>
        <w:rPr/>
        <w:t xml:space="preserve"> </w:t>
      </w:r>
      <w:r>
        <w:rPr>
          <w:rFonts w:ascii="Times New Roman" w:hAnsi="Times New Roman"/>
          <w:sz w:val="24"/>
          <w:szCs w:val="24"/>
          <w:lang w:val="uk-UA" w:eastAsia="ar-SA"/>
        </w:rPr>
        <w:t>Статуту ТзОВ «Шувар» З урахуванням визначених Статутом Товариства застережень щодо компетенції, Директор:</w:t>
      </w:r>
    </w:p>
    <w:p>
      <w:pPr>
        <w:pStyle w:val="Normal"/>
        <w:shd w:val="clear" w:color="auto" w:fill="FFFFFF"/>
        <w:tabs>
          <w:tab w:val="left" w:pos="720"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8.7.3.1. Діє без довіреності від імені Товариства. Репрезентує Товариство в Україні та за кордоном в межах своїх повноважень.</w:t>
      </w:r>
    </w:p>
    <w:p>
      <w:pPr>
        <w:pStyle w:val="Normal"/>
        <w:shd w:val="clear" w:color="auto" w:fill="FFFFFF"/>
        <w:tabs>
          <w:tab w:val="left" w:pos="720"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8.7.3.2. Встановлює основні показники виробничо-господарської діяльності, економічні нормативи, інші нормативи та вимоги щодо структурних підрозділів Товариства.</w:t>
      </w:r>
    </w:p>
    <w:p>
      <w:pPr>
        <w:pStyle w:val="Normal"/>
        <w:shd w:val="clear" w:color="auto" w:fill="FFFFFF"/>
        <w:tabs>
          <w:tab w:val="left" w:pos="720"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8.7.3.3. Без довіреності від імені Товариства укладає правочини, договори, контракти у тому числі зовнішньоекономічні, підписує заяви, платіжні, фінансові та всі інші документи. 8.7.3.4. Затверджує внутрішні документи Товариства з питань поточної діяльності Товариства, крім тих, які віднесені до компетенції інших органів управління Товариством.</w:t>
      </w:r>
    </w:p>
    <w:p>
      <w:pPr>
        <w:pStyle w:val="Normal"/>
        <w:shd w:val="clear" w:color="auto" w:fill="FFFFFF"/>
        <w:tabs>
          <w:tab w:val="left" w:pos="720"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8.7.3.5. В межах своїх повноважень видає працівникам Товариства та іншим особам доручення (довіреності) на укладення угод (договорів) та здійснення інших дій від імені Товариства.</w:t>
      </w:r>
    </w:p>
    <w:p>
      <w:pPr>
        <w:pStyle w:val="Normal"/>
        <w:shd w:val="clear" w:color="auto" w:fill="FFFFFF"/>
        <w:tabs>
          <w:tab w:val="left" w:pos="720"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8.7.3.6. Затверджує ціни на товари, продукцію і тарифи на послуги.</w:t>
      </w:r>
    </w:p>
    <w:p>
      <w:pPr>
        <w:pStyle w:val="Normal"/>
        <w:shd w:val="clear" w:color="auto" w:fill="FFFFFF"/>
        <w:tabs>
          <w:tab w:val="left" w:pos="720"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8.7.3.7. Вправі делегувати частину своїх повноважень своїм(-єму) заступникам(-у), керівникам структурних підрозділів Товариства з урахуванням обмежень, встановлених Статутом Товариства.</w:t>
      </w:r>
    </w:p>
    <w:p>
      <w:pPr>
        <w:pStyle w:val="Normal"/>
        <w:shd w:val="clear" w:color="auto" w:fill="FFFFFF"/>
        <w:tabs>
          <w:tab w:val="left" w:pos="720"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8.7.3.8. Видає обов‘язкові до виконання накази, розпорядження, інші розпорядчі документи; веде листування відповідно до вимог законодавства.</w:t>
      </w:r>
    </w:p>
    <w:p>
      <w:pPr>
        <w:pStyle w:val="Normal"/>
        <w:shd w:val="clear" w:color="auto" w:fill="FFFFFF"/>
        <w:tabs>
          <w:tab w:val="left" w:pos="720"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8.7.3.9. Затверджує плани структурних підрозділів Товариства та звіти про їх виконання.</w:t>
      </w:r>
    </w:p>
    <w:p>
      <w:pPr>
        <w:pStyle w:val="Normal"/>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8.7.3.10. Відкриває рахунки Товариства в банківських установах та має право підпису в банку (на платіжних, фінансових та усіх інших документів). За наказом директора правом підпису банківських документів може наділятися його заступник або виконавчий директор і головний бухгалтер Товариства.</w:t>
      </w:r>
    </w:p>
    <w:p>
      <w:pPr>
        <w:pStyle w:val="Normal"/>
        <w:shd w:val="clear" w:color="auto" w:fill="FFFFFF"/>
        <w:tabs>
          <w:tab w:val="left" w:pos="562"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8.7.3.11. Підписує фінансові документи Товариства на правах першого підпису.</w:t>
      </w:r>
    </w:p>
    <w:p>
      <w:pPr>
        <w:pStyle w:val="Normal"/>
        <w:shd w:val="clear" w:color="auto" w:fill="FFFFFF"/>
        <w:tabs>
          <w:tab w:val="left" w:pos="562"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 xml:space="preserve">8.7.3.12. Приймає на роботу, переводить на іншу роботу і звільняє з роботи працівників Товариства, керівних працівників структурних підрозділів Товариства у межах своїх повноважень. </w:t>
      </w:r>
    </w:p>
    <w:p>
      <w:pPr>
        <w:pStyle w:val="Normal"/>
        <w:shd w:val="clear" w:color="auto" w:fill="FFFFFF"/>
        <w:tabs>
          <w:tab w:val="left" w:pos="562"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8.7.3.13. Затверджує нормативні документи, що визначають відносини між структурними підрозділами Товариства</w:t>
      </w:r>
    </w:p>
    <w:p>
      <w:pPr>
        <w:pStyle w:val="Normal"/>
        <w:shd w:val="clear" w:color="auto" w:fill="FFFFFF"/>
        <w:tabs>
          <w:tab w:val="left" w:pos="562"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8.7.3.14. Затверджує фонд заробітної плати, штатний розпис і посадові оклади співробітників, встановлює показники, розмір та строки преміювання в межах своїх повноважень.</w:t>
      </w:r>
    </w:p>
    <w:p>
      <w:pPr>
        <w:pStyle w:val="Normal"/>
        <w:shd w:val="clear" w:color="auto" w:fill="FFFFFF"/>
        <w:tabs>
          <w:tab w:val="left" w:pos="562"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 xml:space="preserve">8.7.3.15. Затверджує структуру та штатний розпис апарату управління Товариства, структурних підрозділів Товариства відповідно до своїх повноважень. </w:t>
      </w:r>
    </w:p>
    <w:p>
      <w:pPr>
        <w:pStyle w:val="Normal"/>
        <w:shd w:val="clear" w:color="auto" w:fill="FFFFFF"/>
        <w:tabs>
          <w:tab w:val="left" w:pos="562"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8.7.3.16. Пред’являє (підписує, подає, тощо) від імені Товариства претензії, позовні заяви, скарги та заяви в апеляційному та касаційному порядку, в порядку нагляду тощо.</w:t>
      </w:r>
    </w:p>
    <w:p>
      <w:pPr>
        <w:pStyle w:val="Normal"/>
        <w:shd w:val="clear" w:color="auto" w:fill="FFFFFF"/>
        <w:tabs>
          <w:tab w:val="left" w:pos="562"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8.7.3.17. Розпоряджається кредитами, майном, грошовими коштами, іншими цінностями Товариства відповідно до вимог законодавства та Статуту Товариства.</w:t>
      </w:r>
    </w:p>
    <w:p>
      <w:pPr>
        <w:pStyle w:val="Normal"/>
        <w:shd w:val="clear" w:color="auto" w:fill="FFFFFF"/>
        <w:tabs>
          <w:tab w:val="left" w:pos="562"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8.7.3.18. Приймає рішення про введення в експлуатацію основних засобів Товариства та виведення з експлуатації (консервація) основних засобів Товариства.</w:t>
      </w:r>
    </w:p>
    <w:p>
      <w:pPr>
        <w:pStyle w:val="Normal"/>
        <w:shd w:val="clear" w:color="auto" w:fill="FFFFFF"/>
        <w:tabs>
          <w:tab w:val="left" w:pos="562"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 xml:space="preserve">8.7.3.19. Приймає рішення про списання, ліквідацію основних засобів незалежно від їх вартості. </w:t>
      </w:r>
    </w:p>
    <w:p>
      <w:pPr>
        <w:pStyle w:val="Normal"/>
        <w:shd w:val="clear" w:color="auto" w:fill="FFFFFF"/>
        <w:tabs>
          <w:tab w:val="left" w:pos="562"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8.7.3.20. Наділяє структурні підрозділи Товариства основними засобами, обіговими коштами та іншими цінностями, необхідними для здійснення діяльності.</w:t>
      </w:r>
    </w:p>
    <w:p>
      <w:pPr>
        <w:pStyle w:val="Normal"/>
        <w:shd w:val="clear" w:color="auto" w:fill="FFFFFF"/>
        <w:tabs>
          <w:tab w:val="left" w:pos="562"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8.7.3.21. Застосовує дисциплінарні стягнення, приймає рішення про притягнення до майнової відповідальності працівників Товариства, керівних та матеріально відповідальних працівників структурних підрозділів Товариства відповідно до своїх повноважень, вимог законодавства та цього Статуту.</w:t>
      </w:r>
    </w:p>
    <w:p>
      <w:pPr>
        <w:pStyle w:val="Normal"/>
        <w:shd w:val="clear" w:color="auto" w:fill="FFFFFF"/>
        <w:tabs>
          <w:tab w:val="left" w:pos="562"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8.7.3.22. Надає Державному реєстратору інформацію про зміни та доповнення до Статуту Товариства.</w:t>
      </w:r>
    </w:p>
    <w:p>
      <w:pPr>
        <w:pStyle w:val="Normal"/>
        <w:shd w:val="clear" w:color="auto" w:fill="FFFFFF"/>
        <w:tabs>
          <w:tab w:val="left" w:pos="562" w:leader="none"/>
        </w:tabs>
        <w:spacing w:lineRule="auto" w:line="240" w:before="0" w:after="0"/>
        <w:jc w:val="both"/>
        <w:rPr>
          <w:rFonts w:ascii="Times New Roman" w:hAnsi="Times New Roman"/>
          <w:sz w:val="24"/>
          <w:szCs w:val="24"/>
          <w:lang w:val="uk-UA" w:eastAsia="ar-SA"/>
        </w:rPr>
      </w:pPr>
      <w:r>
        <w:rPr>
          <w:rFonts w:ascii="Times New Roman" w:hAnsi="Times New Roman"/>
          <w:sz w:val="24"/>
          <w:szCs w:val="24"/>
          <w:lang w:val="uk-UA" w:eastAsia="ar-SA"/>
        </w:rPr>
        <w:t>8.7.3.23. Здійснює інші дії та наділяється повноваженнями відповідно до положень цього Статуту, рішень Загальних зборів, інших внутрішніх документів Товариства.</w:t>
      </w:r>
    </w:p>
    <w:p>
      <w:pPr>
        <w:pStyle w:val="Normal"/>
        <w:shd w:val="clear" w:color="auto" w:fill="FFFFFF"/>
        <w:tabs>
          <w:tab w:val="left" w:pos="562" w:leader="none"/>
        </w:tabs>
        <w:spacing w:lineRule="auto" w:line="240" w:before="0" w:after="0"/>
        <w:jc w:val="both"/>
        <w:rPr>
          <w:rFonts w:ascii="Times New Roman" w:hAnsi="Times New Roman"/>
          <w:color w:val="000000"/>
          <w:sz w:val="24"/>
          <w:szCs w:val="24"/>
          <w:lang w:val="uk-UA" w:eastAsia="ar-SA"/>
        </w:rPr>
      </w:pPr>
      <w:r>
        <w:rPr>
          <w:rFonts w:ascii="Times New Roman" w:hAnsi="Times New Roman"/>
          <w:sz w:val="24"/>
          <w:szCs w:val="24"/>
          <w:lang w:val="uk-UA" w:eastAsia="ar-SA"/>
        </w:rPr>
        <w:t xml:space="preserve">8.7.3.24. </w:t>
      </w:r>
      <w:r>
        <w:rPr>
          <w:rFonts w:ascii="Times New Roman" w:hAnsi="Times New Roman"/>
          <w:color w:val="000000"/>
          <w:sz w:val="24"/>
          <w:szCs w:val="24"/>
          <w:lang w:val="uk-UA" w:eastAsia="ar-SA"/>
        </w:rPr>
        <w:t>Директор має й інші права та обов’язки, які визначено закондавством України, положеннями цього Статуту, рішеннями Загальних зборів, іншими внутрішніми документами Товариства, проте Директор без згоди загальних зборів учасників Товариства або Наглядової ради не вправі:</w:t>
      </w:r>
    </w:p>
    <w:p>
      <w:pPr>
        <w:pStyle w:val="Normal"/>
        <w:shd w:val="clear" w:color="auto" w:fill="FFFFFF"/>
        <w:tabs>
          <w:tab w:val="left" w:pos="562" w:leader="none"/>
        </w:tabs>
        <w:spacing w:lineRule="auto" w:line="240" w:before="0" w:after="0"/>
        <w:jc w:val="both"/>
        <w:rPr>
          <w:rFonts w:ascii="Times New Roman" w:hAnsi="Times New Roman"/>
          <w:color w:val="000000"/>
          <w:sz w:val="24"/>
          <w:szCs w:val="24"/>
          <w:lang w:val="uk-UA" w:eastAsia="ar-SA"/>
        </w:rPr>
      </w:pPr>
      <w:r>
        <w:rPr>
          <w:rFonts w:ascii="Times New Roman" w:hAnsi="Times New Roman"/>
          <w:color w:val="000000"/>
          <w:sz w:val="24"/>
          <w:szCs w:val="24"/>
          <w:lang w:val="uk-UA" w:eastAsia="ar-SA"/>
        </w:rPr>
        <w:t>- укладати від імені Товариства правочини, розмір яких становить суму більше 3000000 (трьох мільйонів) гривень або еквівалент у іншій валюті за курсом Національного банку України на день укладення правочину, а також правочинів, строк виконання яких є більшим ніж один рік;</w:t>
      </w:r>
    </w:p>
    <w:p>
      <w:pPr>
        <w:pStyle w:val="Normal"/>
        <w:shd w:val="clear" w:color="auto" w:fill="FFFFFF"/>
        <w:tabs>
          <w:tab w:val="left" w:pos="562" w:leader="none"/>
        </w:tabs>
        <w:spacing w:lineRule="auto" w:line="240" w:before="0" w:after="0"/>
        <w:jc w:val="both"/>
        <w:rPr>
          <w:rFonts w:ascii="Times New Roman" w:hAnsi="Times New Roman"/>
          <w:color w:val="000000"/>
          <w:sz w:val="24"/>
          <w:szCs w:val="24"/>
          <w:lang w:val="uk-UA" w:eastAsia="ar-SA"/>
        </w:rPr>
      </w:pPr>
      <w:r>
        <w:rPr>
          <w:rFonts w:ascii="Times New Roman" w:hAnsi="Times New Roman"/>
          <w:color w:val="000000"/>
          <w:sz w:val="24"/>
          <w:szCs w:val="24"/>
          <w:lang w:val="uk-UA" w:eastAsia="ar-SA"/>
        </w:rPr>
        <w:t xml:space="preserve">- від імені Товариства встановлювати іпотеку, заставу чи інші речові права щодо майна Товариства; </w:t>
      </w:r>
    </w:p>
    <w:p>
      <w:pPr>
        <w:pStyle w:val="Normal"/>
        <w:tabs>
          <w:tab w:val="left" w:pos="1134" w:leader="none"/>
        </w:tabs>
        <w:spacing w:before="0" w:after="0"/>
        <w:jc w:val="both"/>
        <w:rPr>
          <w:lang w:val="uk-UA"/>
        </w:rPr>
      </w:pPr>
      <w:r>
        <w:rPr>
          <w:rFonts w:ascii="Times New Roman" w:hAnsi="Times New Roman"/>
          <w:color w:val="000000"/>
          <w:sz w:val="24"/>
          <w:szCs w:val="24"/>
          <w:lang w:val="uk-UA" w:eastAsia="ar-SA"/>
        </w:rPr>
        <w:t>- виступати від імені Товариства гарантом, видавати векселі, виступати поручителем, проводити емісію облігацій чи інших цінних паперів</w:t>
      </w:r>
    </w:p>
    <w:p>
      <w:pPr>
        <w:pStyle w:val="Normal"/>
        <w:tabs>
          <w:tab w:val="left" w:pos="1134" w:leader="none"/>
        </w:tabs>
        <w:spacing w:before="0" w:after="0"/>
        <w:ind w:firstLine="567"/>
        <w:jc w:val="both"/>
        <w:rPr>
          <w:rFonts w:ascii="Times New Roman" w:hAnsi="Times New Roman"/>
          <w:sz w:val="24"/>
          <w:szCs w:val="24"/>
          <w:lang w:val="uk-UA"/>
        </w:rPr>
      </w:pPr>
      <w:r>
        <w:rPr>
          <w:rFonts w:ascii="Times New Roman" w:hAnsi="Times New Roman"/>
          <w:sz w:val="24"/>
          <w:szCs w:val="24"/>
          <w:lang w:val="uk-UA"/>
        </w:rPr>
      </w:r>
    </w:p>
    <w:p>
      <w:pPr>
        <w:pStyle w:val="Normal"/>
        <w:tabs>
          <w:tab w:val="left" w:pos="1134" w:leader="none"/>
        </w:tabs>
        <w:spacing w:before="0" w:after="0"/>
        <w:ind w:firstLine="567"/>
        <w:jc w:val="both"/>
        <w:rPr>
          <w:rFonts w:ascii="Times New Roman" w:hAnsi="Times New Roman"/>
          <w:sz w:val="24"/>
          <w:szCs w:val="24"/>
          <w:lang w:val="uk-UA"/>
        </w:rPr>
      </w:pPr>
      <w:r>
        <w:rPr>
          <w:rFonts w:ascii="Times New Roman" w:hAnsi="Times New Roman"/>
          <w:sz w:val="24"/>
          <w:szCs w:val="24"/>
          <w:lang w:val="uk-UA"/>
        </w:rPr>
      </w:r>
    </w:p>
    <w:p>
      <w:pPr>
        <w:pStyle w:val="Normal"/>
        <w:tabs>
          <w:tab w:val="left" w:pos="1134" w:leader="none"/>
        </w:tabs>
        <w:spacing w:before="0" w:after="0"/>
        <w:ind w:firstLine="567"/>
        <w:jc w:val="both"/>
        <w:rPr>
          <w:rFonts w:ascii="Times New Roman" w:hAnsi="Times New Roman"/>
          <w:sz w:val="24"/>
          <w:szCs w:val="24"/>
          <w:lang w:val="uk-UA"/>
        </w:rPr>
      </w:pPr>
      <w:r>
        <w:rPr>
          <w:rFonts w:ascii="Times New Roman" w:hAnsi="Times New Roman"/>
          <w:sz w:val="24"/>
          <w:szCs w:val="24"/>
          <w:lang w:val="uk-UA"/>
        </w:rPr>
      </w:r>
    </w:p>
    <w:p>
      <w:pPr>
        <w:pStyle w:val="Normal"/>
        <w:tabs>
          <w:tab w:val="left" w:pos="1134" w:leader="none"/>
        </w:tabs>
        <w:spacing w:before="0" w:after="0"/>
        <w:ind w:firstLine="567"/>
        <w:jc w:val="both"/>
        <w:rPr/>
      </w:pPr>
      <w:r>
        <w:rPr/>
      </w:r>
    </w:p>
    <w:p>
      <w:pPr>
        <w:pStyle w:val="Normal"/>
        <w:tabs>
          <w:tab w:val="left" w:pos="1134" w:leader="none"/>
        </w:tabs>
        <w:spacing w:before="0" w:after="0"/>
        <w:ind w:firstLine="567"/>
        <w:jc w:val="both"/>
        <w:rPr/>
      </w:pPr>
      <w:r>
        <w:rPr/>
      </w:r>
    </w:p>
    <w:p>
      <w:pPr>
        <w:pStyle w:val="Normal"/>
        <w:tabs>
          <w:tab w:val="left" w:pos="1134" w:leader="none"/>
        </w:tabs>
        <w:spacing w:before="0" w:after="0"/>
        <w:ind w:firstLine="567"/>
        <w:jc w:val="both"/>
        <w:rPr>
          <w:b/>
          <w:b/>
          <w:bCs/>
          <w:sz w:val="26"/>
          <w:szCs w:val="26"/>
          <w:lang w:val="uk-UA"/>
        </w:rPr>
      </w:pPr>
      <w:r>
        <w:rPr>
          <w:b/>
          <w:bCs/>
          <w:sz w:val="26"/>
          <w:szCs w:val="26"/>
          <w:lang w:val="uk-UA"/>
        </w:rPr>
        <w:t>Директор                                                                        Боднар О.І.</w:t>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069" w:hanging="360"/>
      </w:pPr>
      <w:rPr>
        <w:sz w:val="24"/>
        <w:rFonts w:ascii="Times New Roman" w:hAnsi="Times New Roman"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false"/>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en-US" w:eastAsia="en-US"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Body Text Inde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Times New Roman"/>
      <w:color w:val="00000A"/>
      <w:sz w:val="22"/>
      <w:szCs w:val="22"/>
      <w:lang w:val="ru-RU" w:eastAsia="en-US" w:bidi="ar-SA"/>
    </w:rPr>
  </w:style>
  <w:style w:type="character" w:styleId="DefaultParagraphFont" w:default="1">
    <w:name w:val="Default Paragraph Font"/>
    <w:uiPriority w:val="99"/>
    <w:semiHidden/>
    <w:qFormat/>
    <w:rPr/>
  </w:style>
  <w:style w:type="character" w:styleId="Style14" w:customStyle="1">
    <w:name w:val="Основний текст з відступом Знак"/>
    <w:basedOn w:val="DefaultParagraphFont"/>
    <w:uiPriority w:val="99"/>
    <w:qFormat/>
    <w:locked/>
    <w:rPr>
      <w:rFonts w:ascii="Times New Roman" w:hAnsi="Times New Roman" w:cs="Times New Roman"/>
      <w:sz w:val="20"/>
      <w:szCs w:val="20"/>
      <w:lang w:eastAsia="ru-RU"/>
    </w:rPr>
  </w:style>
  <w:style w:type="character" w:styleId="Style15" w:customStyle="1">
    <w:name w:val="Верхній колонтитул Знак"/>
    <w:basedOn w:val="DefaultParagraphFont"/>
    <w:uiPriority w:val="99"/>
    <w:semiHidden/>
    <w:qFormat/>
    <w:locked/>
    <w:rPr>
      <w:rFonts w:cs="Times New Roman"/>
    </w:rPr>
  </w:style>
  <w:style w:type="character" w:styleId="Style16" w:customStyle="1">
    <w:name w:val="Нижній колонтитул Знак"/>
    <w:basedOn w:val="DefaultParagraphFont"/>
    <w:uiPriority w:val="99"/>
    <w:semiHidden/>
    <w:qFormat/>
    <w:locked/>
    <w:rPr>
      <w:rFonts w:cs="Times New Roman"/>
    </w:rPr>
  </w:style>
  <w:style w:type="character" w:styleId="Rvts0" w:customStyle="1">
    <w:name w:val="rvts0"/>
    <w:basedOn w:val="DefaultParagraphFont"/>
    <w:uiPriority w:val="99"/>
    <w:qFormat/>
    <w:rPr>
      <w:rFonts w:cs="Times New Roman"/>
    </w:rPr>
  </w:style>
  <w:style w:type="character" w:styleId="Style17" w:customStyle="1">
    <w:name w:val="Основний текст Знак"/>
    <w:basedOn w:val="DefaultParagraphFont"/>
    <w:uiPriority w:val="99"/>
    <w:semiHidden/>
    <w:qFormat/>
    <w:rPr>
      <w:rFonts w:cs="Times New Roman"/>
      <w:lang w:val="ru-RU"/>
    </w:rPr>
  </w:style>
  <w:style w:type="character" w:styleId="ListLabel1" w:customStyle="1">
    <w:name w:val="ListLabel 1"/>
    <w:uiPriority w:val="99"/>
    <w:qFormat/>
    <w:rsid w:val="00f600bc"/>
    <w:rPr/>
  </w:style>
  <w:style w:type="character" w:styleId="ListLabel2" w:customStyle="1">
    <w:name w:val="ListLabel 2"/>
    <w:uiPriority w:val="99"/>
    <w:qFormat/>
    <w:rsid w:val="00f600bc"/>
    <w:rPr>
      <w:rFonts w:eastAsia="Times New Roman"/>
    </w:rPr>
  </w:style>
  <w:style w:type="character" w:styleId="ListLabel3" w:customStyle="1">
    <w:name w:val="ListLabel 3"/>
    <w:uiPriority w:val="99"/>
    <w:qFormat/>
    <w:rsid w:val="00f600bc"/>
    <w:rPr/>
  </w:style>
  <w:style w:type="character" w:styleId="ListLabel4" w:customStyle="1">
    <w:name w:val="ListLabel 4"/>
    <w:uiPriority w:val="99"/>
    <w:qFormat/>
    <w:rsid w:val="00f600bc"/>
    <w:rPr>
      <w:b/>
    </w:rPr>
  </w:style>
  <w:style w:type="character" w:styleId="BodyTextChar" w:customStyle="1">
    <w:name w:val="Body Text Char"/>
    <w:basedOn w:val="DefaultParagraphFont"/>
    <w:link w:val="BodyText"/>
    <w:uiPriority w:val="99"/>
    <w:semiHidden/>
    <w:qFormat/>
    <w:rsid w:val="00bc2831"/>
    <w:rPr>
      <w:color w:val="00000A"/>
      <w:lang w:val="ru-RU"/>
    </w:rPr>
  </w:style>
  <w:style w:type="character" w:styleId="BodyTextIndentChar" w:customStyle="1">
    <w:name w:val="Body Text Indent Char"/>
    <w:basedOn w:val="DefaultParagraphFont"/>
    <w:link w:val="BodyTextIndent"/>
    <w:uiPriority w:val="99"/>
    <w:semiHidden/>
    <w:qFormat/>
    <w:rsid w:val="00bc2831"/>
    <w:rPr>
      <w:color w:val="00000A"/>
      <w:lang w:val="ru-RU"/>
    </w:rPr>
  </w:style>
  <w:style w:type="character" w:styleId="HeaderChar" w:customStyle="1">
    <w:name w:val="Header Char"/>
    <w:basedOn w:val="DefaultParagraphFont"/>
    <w:link w:val="Header"/>
    <w:uiPriority w:val="99"/>
    <w:semiHidden/>
    <w:qFormat/>
    <w:rsid w:val="00bc2831"/>
    <w:rPr>
      <w:color w:val="00000A"/>
      <w:lang w:val="ru-RU"/>
    </w:rPr>
  </w:style>
  <w:style w:type="character" w:styleId="FooterChar" w:customStyle="1">
    <w:name w:val="Footer Char"/>
    <w:basedOn w:val="DefaultParagraphFont"/>
    <w:link w:val="Footer"/>
    <w:uiPriority w:val="99"/>
    <w:semiHidden/>
    <w:qFormat/>
    <w:rsid w:val="00bc2831"/>
    <w:rPr>
      <w:color w:val="00000A"/>
      <w:lang w:val="ru-RU"/>
    </w:rPr>
  </w:style>
  <w:style w:type="character" w:styleId="ListLabel5">
    <w:name w:val="ListLabel 5"/>
    <w:qFormat/>
    <w:rPr>
      <w:rFonts w:ascii="Times New Roman" w:hAnsi="Times New Roman" w:cs="Times New Roman"/>
      <w:sz w:val="24"/>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rPr>
  </w:style>
  <w:style w:type="character" w:styleId="ListLabel11">
    <w:name w:val="ListLabel 11"/>
    <w:qFormat/>
    <w:rPr>
      <w:rFonts w:cs="Times New Roman"/>
    </w:rPr>
  </w:style>
  <w:style w:type="character" w:styleId="ListLabel12">
    <w:name w:val="ListLabel 12"/>
    <w:qFormat/>
    <w:rPr>
      <w:rFonts w:cs="Times New Roman"/>
    </w:rPr>
  </w:style>
  <w:style w:type="character" w:styleId="ListLabel13">
    <w:name w:val="ListLabel 13"/>
    <w:qFormat/>
    <w:rPr>
      <w:rFonts w:cs="Times New Roman"/>
    </w:rPr>
  </w:style>
  <w:style w:type="paragraph" w:styleId="Style18" w:customStyle="1">
    <w:name w:val="Заголовок"/>
    <w:basedOn w:val="Normal"/>
    <w:next w:val="Style19"/>
    <w:uiPriority w:val="99"/>
    <w:qFormat/>
    <w:rsid w:val="00f600bc"/>
    <w:pPr>
      <w:keepNext/>
      <w:spacing w:before="240" w:after="120"/>
    </w:pPr>
    <w:rPr>
      <w:rFonts w:ascii="Liberation Sans" w:hAnsi="Liberation Sans" w:eastAsia="Microsoft YaHei" w:cs="Mangal"/>
      <w:sz w:val="28"/>
      <w:szCs w:val="28"/>
    </w:rPr>
  </w:style>
  <w:style w:type="paragraph" w:styleId="Style19">
    <w:name w:val="Body Text"/>
    <w:basedOn w:val="Normal"/>
    <w:link w:val="BodyTextChar"/>
    <w:uiPriority w:val="99"/>
    <w:pPr>
      <w:spacing w:lineRule="auto" w:line="288" w:before="0" w:after="120"/>
    </w:pPr>
    <w:rPr/>
  </w:style>
  <w:style w:type="paragraph" w:styleId="Style20">
    <w:name w:val="List"/>
    <w:basedOn w:val="Style19"/>
    <w:uiPriority w:val="99"/>
    <w:rsid w:val="00f600bc"/>
    <w:pPr/>
    <w:rPr>
      <w:rFonts w:cs="Mangal"/>
    </w:rPr>
  </w:style>
  <w:style w:type="paragraph" w:styleId="Style21">
    <w:name w:val="Caption"/>
    <w:basedOn w:val="Normal"/>
    <w:qFormat/>
    <w:pPr>
      <w:suppressLineNumbers/>
      <w:spacing w:before="120" w:after="120"/>
    </w:pPr>
    <w:rPr>
      <w:rFonts w:cs="Arial Unicode MS"/>
      <w:i/>
      <w:iCs/>
      <w:sz w:val="24"/>
      <w:szCs w:val="24"/>
    </w:rPr>
  </w:style>
  <w:style w:type="paragraph" w:styleId="Style22">
    <w:name w:val="Указатель"/>
    <w:basedOn w:val="Normal"/>
    <w:qFormat/>
    <w:pPr>
      <w:suppressLineNumbers/>
    </w:pPr>
    <w:rPr>
      <w:rFonts w:cs="Arial Unicode MS"/>
    </w:rPr>
  </w:style>
  <w:style w:type="paragraph" w:styleId="Caption">
    <w:name w:val="caption"/>
    <w:basedOn w:val="Normal"/>
    <w:uiPriority w:val="99"/>
    <w:qFormat/>
    <w:rsid w:val="00f600bc"/>
    <w:pPr>
      <w:suppressLineNumbers/>
      <w:spacing w:before="120" w:after="120"/>
    </w:pPr>
    <w:rPr>
      <w:rFonts w:cs="Mangal"/>
      <w:i/>
      <w:iCs/>
      <w:sz w:val="24"/>
      <w:szCs w:val="24"/>
    </w:rPr>
  </w:style>
  <w:style w:type="paragraph" w:styleId="Index1">
    <w:name w:val="index 1"/>
    <w:basedOn w:val="Normal"/>
    <w:next w:val="Normal"/>
    <w:autoRedefine/>
    <w:uiPriority w:val="99"/>
    <w:semiHidden/>
    <w:qFormat/>
    <w:pPr>
      <w:ind w:left="220" w:hanging="220"/>
    </w:pPr>
    <w:rPr/>
  </w:style>
  <w:style w:type="paragraph" w:styleId="Indexheading">
    <w:name w:val="index heading"/>
    <w:basedOn w:val="Normal"/>
    <w:uiPriority w:val="99"/>
    <w:qFormat/>
    <w:rsid w:val="00f600bc"/>
    <w:pPr>
      <w:suppressLineNumbers/>
    </w:pPr>
    <w:rPr>
      <w:rFonts w:cs="Mangal"/>
    </w:rPr>
  </w:style>
  <w:style w:type="paragraph" w:styleId="ListParagraph">
    <w:name w:val="List Paragraph"/>
    <w:basedOn w:val="Normal"/>
    <w:uiPriority w:val="99"/>
    <w:qFormat/>
    <w:pPr>
      <w:spacing w:before="0" w:after="200"/>
      <w:ind w:left="720" w:hanging="0"/>
      <w:contextualSpacing/>
    </w:pPr>
    <w:rPr/>
  </w:style>
  <w:style w:type="paragraph" w:styleId="Style23">
    <w:name w:val="Body Text Indent"/>
    <w:basedOn w:val="Normal"/>
    <w:link w:val="BodyTextIndentChar"/>
    <w:uiPriority w:val="99"/>
    <w:pPr>
      <w:spacing w:lineRule="auto" w:line="240" w:before="0" w:after="120"/>
      <w:ind w:left="283" w:hanging="0"/>
    </w:pPr>
    <w:rPr>
      <w:rFonts w:ascii="Times New Roman" w:hAnsi="Times New Roman" w:eastAsia="Times New Roman"/>
      <w:sz w:val="20"/>
      <w:szCs w:val="20"/>
      <w:lang w:eastAsia="ru-RU"/>
    </w:rPr>
  </w:style>
  <w:style w:type="paragraph" w:styleId="Style24">
    <w:name w:val="Header"/>
    <w:basedOn w:val="Normal"/>
    <w:link w:val="HeaderChar"/>
    <w:uiPriority w:val="99"/>
    <w:semiHidden/>
    <w:pPr>
      <w:tabs>
        <w:tab w:val="center" w:pos="4677" w:leader="none"/>
        <w:tab w:val="right" w:pos="9355" w:leader="none"/>
      </w:tabs>
      <w:spacing w:lineRule="auto" w:line="240" w:before="0" w:after="0"/>
    </w:pPr>
    <w:rPr/>
  </w:style>
  <w:style w:type="paragraph" w:styleId="Style25">
    <w:name w:val="Footer"/>
    <w:basedOn w:val="Normal"/>
    <w:link w:val="FooterChar"/>
    <w:uiPriority w:val="99"/>
    <w:semiHidden/>
    <w:pPr>
      <w:tabs>
        <w:tab w:val="center" w:pos="4677" w:leader="none"/>
        <w:tab w:val="right" w:pos="9355" w:leader="none"/>
      </w:tabs>
      <w:spacing w:lineRule="auto" w:line="240" w:before="0" w:after="0"/>
    </w:pPr>
    <w:rPr/>
  </w:style>
  <w:style w:type="paragraph" w:styleId="NormalWeb">
    <w:name w:val="Normal (Web)"/>
    <w:basedOn w:val="Normal"/>
    <w:uiPriority w:val="99"/>
    <w:qFormat/>
    <w:pPr>
      <w:spacing w:before="0" w:after="280"/>
    </w:pPr>
    <w:rPr>
      <w:rFonts w:ascii="Times New Roman" w:hAnsi="Times New Roman" w:eastAsia="Times New Roman"/>
      <w:sz w:val="24"/>
      <w:szCs w:val="24"/>
      <w:lang w:val="uk-UA" w:eastAsia="ru-RU"/>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Application>LibreOffice/5.1.4.2$Windows_x86 LibreOffice_project/f99d75f39f1c57ebdd7ffc5f42867c12031db97a</Application>
  <Pages>5</Pages>
  <Words>1355</Words>
  <Characters>9484</Characters>
  <CharactersWithSpaces>10847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2019-04-25T18:12:00Z</dcterms:created>
  <dc:creator>uhornitska</dc:creator>
  <dc:description/>
  <dc:language>uk-UA</dc:language>
  <cp:lastModifiedBy/>
  <cp:lastPrinted>2019-04-01T05:01:00Z</cp:lastPrinted>
  <dcterms:modified xsi:type="dcterms:W3CDTF">2019-04-26T12:08:28Z</dcterms:modified>
  <cp:revision>3</cp:revision>
  <dc:subject/>
  <dc:title>ЗВІТ ПРО КОРПОРАТИВНЕ УПРАВЛІННЯ ПРАТ «КОМПАНІЯ ЕНЗИМ»</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